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6A" w:rsidRPr="00275A6A" w:rsidRDefault="00275A6A" w:rsidP="00275A6A">
      <w:pPr>
        <w:spacing w:before="272" w:after="272" w:line="240" w:lineRule="auto"/>
        <w:outlineLvl w:val="1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МИНИСТЕРСТВО ОБРАЗОВАНИЯ И НАУКИ РОССИЙСКОЙ ФЕДЕРАЦИИ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ПРИКАЗ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от 30 июля 2014 г. N 909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ОБ УТВЕРЖДЕНИИ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ФЕДЕРАЛЬНОГО ГОСУДАРСТВЕННОГО ОБРАЗОВАТЕЛЬНОГО СТАНДАРТА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ВЫСШЕГО ОБРАЗОВАНИЯ ПО НАПРАВЛЕНИЮ ПОДГОТОВКИ 50.06.01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ИСКУССТВОВЕДЕНИЕ (УРОВЕНЬ ПОДГОТОВКИ КАДРОВ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ВЫСШЕЙ КВАЛИФИКАЦИИ)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В соответствии с </w:t>
      </w:r>
      <w:hyperlink r:id="rId4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подпунктом 5.2.41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N 27, ст. 3776), и </w:t>
      </w:r>
      <w:hyperlink r:id="rId5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пунктом 17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1. Утвердить прилагаемый федеральный государственный образовательный </w:t>
      </w:r>
      <w:hyperlink r:id="rId6" w:anchor="p34" w:tooltip="Ссылка на текущий документ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стандарт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высшего образования по направлению подготовки 50.06.01 Искусствоведение (уровень подготовки кадров высшей квалификации).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2. Настоящий приказ вступает в силу с 1 сентября 2014 года.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Министр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Д.В.ЛИВАНОВ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Приложение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Утвержден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приказом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Министерства образования и науки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Российской Федерации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от 30 июля 2014 г. N 909</w:t>
      </w:r>
    </w:p>
    <w:p w:rsidR="00275A6A" w:rsidRPr="00275A6A" w:rsidRDefault="00275A6A" w:rsidP="00275A6A">
      <w:pPr>
        <w:spacing w:before="272" w:after="272" w:line="240" w:lineRule="auto"/>
        <w:outlineLvl w:val="1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ФЕДЕРАЛЬНЫЙ ГОСУДАРСТВЕННЫЙ ОБРАЗОВАТЕЛЬНЫЙ СТАНДАРТ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ВЫСШЕГО ОБРАЗОВАНИЯ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УРОВЕНЬ ВЫСШЕГО ОБРАЗОВАНИЯ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ПОДГОТОВКА КАДРОВ ВЫСШЕЙ КВАЛИФИКАЦИИ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>НАПРАВЛЕНИЕ ПОДГОТОВКИ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275A6A">
        <w:rPr>
          <w:rFonts w:ascii="Tahoma" w:eastAsia="Times New Roman" w:hAnsi="Tahoma" w:cs="Tahoma"/>
          <w:b/>
          <w:sz w:val="28"/>
          <w:szCs w:val="28"/>
          <w:lang w:eastAsia="ru-RU"/>
        </w:rPr>
        <w:t>50.06.01 ИСКУССТВОВЕДЕНИЕ</w:t>
      </w:r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I. ОБЛАСТЬ ПРИМЕНЕНИЯ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50.06.01 Искусствоведение (далее соответственно - программа аспирантуры, направление подготовки).</w:t>
      </w:r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II. ИСПОЛЬЗУЕМЫЕ СОКРАЩЕНИЯ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 настоящем федеральном государственном образовательном стандарте используются следующие сокращения: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ВО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- высшее образование;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УК - универсальные компетенции;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ОПК -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общепрофессиональные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компетенции;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ПК - профессиональные компетенции;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ФГОС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ВО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- федеральный государственный образовательный стандарт высшего образования;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сетевая форма - сетевая форма реализации образовательных программ.</w:t>
      </w:r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III. ХАРАКТЕРИСТИКА НАПРАВЛЕНИЯ ПОДГОТОВКИ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3.2.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Объем программы аспирантуры составляет 180 зачетных единиц (далее -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з.е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.) вне зависимости от формы обучения, применяемых 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3.3. Срок получения образования по программе аспирантуры: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з.е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.;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при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обучении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обучении по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обучении по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индивидуальному плану не может составлять более 75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з.е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. за один учебный год.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3.5. Реализация программы аспирантуры возможна с использованием сетевой формы.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87BEF" w:rsidRDefault="00187BEF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IV. ХАРАКТЕРИСТИКА ПРОФЕССИОНАЛЬНОЙ ДЕЯТЕЛЬНОСТИ</w:t>
      </w:r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ВЫПУСКНИКОВ, ОСВОИВШИХ ПРОГРАММУ АСПИРАНТУРЫ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4.1. Область профессиональной деятельности выпускников, освоивших программу аспирантуры, включает решение профессиональных задач в сфере искусства, культуры и гуманитарного знания.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4.2. Объектами профессиональной деятельности выпускников, освоивших программу аспирантуры, являются: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историко-художественные процессы и явления в их художественных, культурных,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социокультурных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, формально-стилевых, семиотических измерениях и их отражение в произведениях искусства, теории и методологии искусства, эстетических концепциях;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способы создания и презентации произведений искусства по направленности (профилю) программы;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памятники, собрания и коллекции произведений искусства;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реставрация и консервация произведений искусств;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окружающая культурно-пространственная среда;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система образования в области искусств;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общественные объединения и профессиональные организации в области искусств;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менеджмент и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продюсирование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в сфере искусства.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4.3. Виды профессиональной деятельности, к которым готовятся выпускники, освоившие программу аспирантуры: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научно-исследовательская деятельность в области искусства и искусствознания;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преподавательская деятельность по образовательным программам высшего образования.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V. ТРЕБОВАНИЯ К РЕЗУЛЬТАТАМ ОСВОЕНИЯ ПРОГРАММЫ АСПИРАНТУРЫ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5.1. В результате освоения программы аспирантуры у выпускника должны быть сформированы: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универсальные компетенции, не зависящие от конкретного направления подготовки;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общепрофессиональные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компетенции, определяемые направлением подготовки;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5.2. Выпускник, освоивший программу аспирантуры, должен обладать следующими универсальными компетенциями: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способностью планировать и решать задачи собственного профессионального и личностного развития (УК-5).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5.3. Выпускник, освоивший программу аспирантуры, должен обладать следующими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общепрофессиональными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компетенциями: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5.4. При разработке программы аспирантуры все универсальные и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общепрофессиональные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компетенции включаются в набор требуемых результатов освоения программы аспирантуры.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утверждаемой Министерством образования и науки Российской Федерации &lt;1&gt;.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--------------------------------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&lt;1&gt; </w:t>
      </w:r>
      <w:hyperlink r:id="rId7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Подпункт 5.2.73(3)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N 27, ст. 3776).</w:t>
      </w:r>
      <w:proofErr w:type="gramEnd"/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VI. ТРЕБОВАНИЯ К СТРУКТУРЕ ПРОГРАММЫ АСПИРАНТУРЫ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6.2. Программа аспирантуры состоит из следующих блоков: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Блок 1. "Дисциплины (модули)",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который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Блок 2. "Практики",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который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в полном объеме относится к вариативной части программы.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Блок 3. "Научно-исследовательская работа",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который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в полном объеме относится к вариативной части программы.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Структура программы аспирантуры</w:t>
      </w:r>
    </w:p>
    <w:p w:rsidR="00275A6A" w:rsidRPr="00275A6A" w:rsidRDefault="00275A6A" w:rsidP="00275A6A">
      <w:pPr>
        <w:spacing w:before="136" w:after="136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Таблица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8"/>
        <w:gridCol w:w="2447"/>
      </w:tblGrid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Наименование элемента программы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Объем</w:t>
            </w:r>
          </w:p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(в </w:t>
            </w:r>
            <w:proofErr w:type="spellStart"/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з.е</w:t>
            </w:r>
            <w:proofErr w:type="spellEnd"/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.)</w:t>
            </w: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 1 "Дисциплины (модули)"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30</w:t>
            </w: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Базовая часть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75A6A" w:rsidRPr="00275A6A" w:rsidRDefault="00275A6A" w:rsidP="00275A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Вариативная часть</w:t>
            </w:r>
          </w:p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21</w:t>
            </w: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 2 "Практики"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141</w:t>
            </w: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75A6A" w:rsidRPr="00275A6A" w:rsidRDefault="00275A6A" w:rsidP="00275A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 3 "Научно-исследовательская работа"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75A6A" w:rsidRPr="00275A6A" w:rsidRDefault="00275A6A" w:rsidP="00275A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75A6A" w:rsidRPr="00275A6A" w:rsidRDefault="00275A6A" w:rsidP="00275A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Блок 4 "Государственная итоговая аттестация"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75A6A" w:rsidRPr="00275A6A" w:rsidRDefault="00275A6A" w:rsidP="00275A6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275A6A" w:rsidRPr="00275A6A" w:rsidTr="00275A6A">
        <w:tc>
          <w:tcPr>
            <w:tcW w:w="8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Объем программы аспирантуры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75A6A" w:rsidRPr="00275A6A" w:rsidRDefault="00275A6A" w:rsidP="00275A6A">
            <w:pPr>
              <w:spacing w:before="136" w:after="136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275A6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180</w:t>
            </w:r>
          </w:p>
        </w:tc>
      </w:tr>
    </w:tbl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6.3.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Набор дисциплин (модулей) вариативной части Блока 1 "Дисциплины (модули)" организация определяет самостоятельно в соответствии с 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направленностью программы аспирантуры в объеме, установленном настоящим ФГОС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ВО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--------------------------------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&lt;1&gt; </w:t>
      </w:r>
      <w:hyperlink r:id="rId8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 3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Педагогическая практика является обязательной.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Способы проведения практики: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стационарная;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выездная.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Практика может проводиться в структурных подразделениях организации.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6.5. В Блок 3 "Научно-исследовательская работа" входит выполнение научно-исследовательской работы. Выполненная научно-исследовательская работа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После выбора обучающимся направленности программы и темы научно-исследовательской работы набор соответствующих дисциплин (модулей) и практик становится обязательным для освоения обучающимся.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6.6. В Блок 4 "Государственная итоговая аттестация" входит подготовка и сдача государственного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экзамена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и защита выпускной 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квалификационной работы, выполненной на основе результатов научно-исследовательской работы.</w:t>
      </w:r>
    </w:p>
    <w:p w:rsidR="00275A6A" w:rsidRPr="00275A6A" w:rsidRDefault="00275A6A" w:rsidP="00275A6A">
      <w:pPr>
        <w:spacing w:before="136" w:after="136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VII. ТРЕБОВАНИЯ К УСЛОВИЯМ РЕАЛИЗАЦИИ ПРОГРАММЫ АСПИРАНТУРЫ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7.1. Общесистемные требования к реализации программы аспирантуры.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7.1.1.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планом.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вне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ее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Электронная информационно-образовательная среда организации должна обеспечивать: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формирование электронного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портфолио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--------------------------------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&lt;1&gt; Федеральный </w:t>
      </w:r>
      <w:hyperlink r:id="rId9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N 23, ст. 2870; N 27, ст. 3479; N 52, ст. 6961; N 52, ст. 6963), Федеральный </w:t>
      </w:r>
      <w:hyperlink r:id="rId10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N 31, ст. 4173; N 31, ст. 4196; N 49, ст. 6409; 2011, N 23, ст. 3263; N 31, ст. 4701; 2013, N 14, ст. 1651; N 30, ст. 4038; N 51, ст. 6683).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7.1.5.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1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справочнике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20237), и профессиональным стандартам (при наличии).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7.1.7.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Web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of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Science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или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Scopus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12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пункту 12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Положения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7.1.8.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--------------------------------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&lt;1&gt; </w:t>
      </w:r>
      <w:hyperlink r:id="rId13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Пункт 4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7.2. Требования к кадровым условиям реализации программы аспирантуры.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7.2.2.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7.2.3.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 (творческую)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научно-исследовательской (творческой) деятельности на национальных и международных конференциях.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7.3. Требования к материально-техническому и учебно-методическому обеспечению программы аспирантуры.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сети "Интернет" и обеспечением доступа в электронную информационно-образовательную среду организации.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обучающимся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осваивать умения и навыки, предусмотренные профессиональной деятельностью.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7.3.4.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>7.4. Требования к финансовому обеспечению программы аспирантуры.</w:t>
      </w:r>
    </w:p>
    <w:p w:rsidR="00275A6A" w:rsidRPr="00275A6A" w:rsidRDefault="00275A6A" w:rsidP="00275A6A">
      <w:pPr>
        <w:spacing w:before="136" w:after="136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7.4.1. </w:t>
      </w:r>
      <w:proofErr w:type="gram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</w:t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Методикой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275A6A" w:rsidRPr="00275A6A" w:rsidRDefault="00275A6A" w:rsidP="00275A6A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</w:r>
      <w:hyperlink r:id="rId15" w:history="1">
        <w:r w:rsidRPr="00187BEF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http://www.consultant.ru/document/cons_doc_LAW_167996/</w:t>
        </w:r>
      </w:hyperlink>
      <w:r w:rsidRPr="00275A6A">
        <w:rPr>
          <w:rFonts w:ascii="Tahoma" w:eastAsia="Times New Roman" w:hAnsi="Tahoma" w:cs="Tahoma"/>
          <w:sz w:val="28"/>
          <w:szCs w:val="28"/>
          <w:lang w:eastAsia="ru-RU"/>
        </w:rPr>
        <w:br/>
        <w:t xml:space="preserve">© </w:t>
      </w:r>
      <w:proofErr w:type="spellStart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КонсультантПлюс</w:t>
      </w:r>
      <w:proofErr w:type="spellEnd"/>
      <w:r w:rsidRPr="00275A6A">
        <w:rPr>
          <w:rFonts w:ascii="Tahoma" w:eastAsia="Times New Roman" w:hAnsi="Tahoma" w:cs="Tahoma"/>
          <w:sz w:val="28"/>
          <w:szCs w:val="28"/>
          <w:lang w:eastAsia="ru-RU"/>
        </w:rPr>
        <w:t>, 1992-2014</w:t>
      </w:r>
    </w:p>
    <w:p w:rsidR="003559D5" w:rsidRPr="00187BEF" w:rsidRDefault="003559D5">
      <w:pPr>
        <w:rPr>
          <w:sz w:val="28"/>
          <w:szCs w:val="28"/>
        </w:rPr>
      </w:pPr>
    </w:p>
    <w:sectPr w:rsidR="003559D5" w:rsidRPr="00187BEF" w:rsidSect="0035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A6A"/>
    <w:rsid w:val="00187BEF"/>
    <w:rsid w:val="00275A6A"/>
    <w:rsid w:val="0035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D5"/>
  </w:style>
  <w:style w:type="paragraph" w:styleId="2">
    <w:name w:val="heading 2"/>
    <w:basedOn w:val="a"/>
    <w:link w:val="20"/>
    <w:uiPriority w:val="9"/>
    <w:qFormat/>
    <w:rsid w:val="00275A6A"/>
    <w:pPr>
      <w:spacing w:before="272" w:after="272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A6A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5A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A6A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6742/?dst=100030" TargetMode="External"/><Relationship Id="rId13" Type="http://schemas.openxmlformats.org/officeDocument/2006/relationships/hyperlink" Target="http://www.consultant.ru/document/cons_doc_LAW_150568/?dst=100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5249/?dst=100200" TargetMode="External"/><Relationship Id="rId12" Type="http://schemas.openxmlformats.org/officeDocument/2006/relationships/hyperlink" Target="http://www.consultant.ru/document/cons_doc_LAW_166742/?dst=10005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7996/" TargetMode="External"/><Relationship Id="rId11" Type="http://schemas.openxmlformats.org/officeDocument/2006/relationships/hyperlink" Target="http://www.consultant.ru/document/cons_doc_LAW_112416/?dst=100009" TargetMode="External"/><Relationship Id="rId5" Type="http://schemas.openxmlformats.org/officeDocument/2006/relationships/hyperlink" Target="http://www.consultant.ru/document/cons_doc_LAW_150567/?dst=100042" TargetMode="External"/><Relationship Id="rId15" Type="http://schemas.openxmlformats.org/officeDocument/2006/relationships/hyperlink" Target="http://www.consultant.ru/document/cons_doc_LAW_167996/" TargetMode="External"/><Relationship Id="rId10" Type="http://schemas.openxmlformats.org/officeDocument/2006/relationships/hyperlink" Target="http://www.consultant.ru/document/cons_doc_LAW_163964/" TargetMode="External"/><Relationship Id="rId4" Type="http://schemas.openxmlformats.org/officeDocument/2006/relationships/hyperlink" Target="http://www.consultant.ru/document/cons_doc_LAW_165249/?dst=100061" TargetMode="External"/><Relationship Id="rId9" Type="http://schemas.openxmlformats.org/officeDocument/2006/relationships/hyperlink" Target="http://www.consultant.ru/document/cons_doc_LAW_165971/" TargetMode="External"/><Relationship Id="rId14" Type="http://schemas.openxmlformats.org/officeDocument/2006/relationships/hyperlink" Target="http://www.consultant.ru/document/cons_doc_LAW_152100/?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</dc:creator>
  <cp:keywords/>
  <dc:description/>
  <cp:lastModifiedBy>medvedeva</cp:lastModifiedBy>
  <cp:revision>1</cp:revision>
  <dcterms:created xsi:type="dcterms:W3CDTF">2014-09-17T08:54:00Z</dcterms:created>
  <dcterms:modified xsi:type="dcterms:W3CDTF">2014-09-17T09:15:00Z</dcterms:modified>
</cp:coreProperties>
</file>